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关于2020年度国家级一流本科培育课程名单的公示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5F8"/>
        <w:spacing w:before="450" w:beforeAutospacing="0" w:after="4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3F5F8"/>
          <w:lang w:val="en-US" w:eastAsia="zh-CN" w:bidi="ar"/>
        </w:rPr>
        <w:t>【日期：2021年01月25日】 【单位：教务处】 【作者：施咏清】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各单位、有关部门：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根据《教务处关于开展2020年度国家级一流本科课程预申报工作的通知》（教务〔2020〕35号）文件精神，在各教学院（部）积极申报和校外专家网评的基础上，经校教学工作委员会审定，拟推荐《金融学》等19门课程为国家级一流本科培育课程，现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公示期为2021年1月25日至1月30日。公示期间，如有异议，请向教务处或纪委办公室反映。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联系方式：0550-6733299（教务处）；jwc@ahstu.edu.cn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监督方式：0550-6732010（纪委办公室）；jiwei@ahstu.edu.cn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center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2020年度国家级一流本科培育课程名单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2377"/>
        <w:gridCol w:w="2899"/>
        <w:gridCol w:w="1896"/>
        <w:gridCol w:w="6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项目类别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项目名称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所属单位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负责人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财经学院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C语言程序设计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信息与网络工程学院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王传安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线下一流课程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机械设计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机械工程学院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线下一流课程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机械原理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机械工程学院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线下一流课程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模拟电子技术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电气与电子工程学院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线下一流课程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市场营销学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胡月英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线下一流课程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企业战略管理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李学兰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大学物理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电气与电子工程学院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何恩节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植物营养学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资源与环境学院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汪建飞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动物组织胚胎学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动物科学学院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周金星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食品工艺学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食品工程学院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杜传来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食品营养学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食品工程学院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丁志刚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赵伟峰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生物化学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生命与健康科学学院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羊生产学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动物科学学院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任清长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理论力学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机械工程学院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李同杰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线上线下混合式一流课程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植物学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生命与健康科学学院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王晓鹏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社会实践一流课程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环境规划与管理社会实践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资源与环境学院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肖新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虚拟仿真实验教学一流课程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土建类专业BIM虚拟仿真实验实训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建筑学院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吴伟东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备注：学校2020年度计划遴选20门一流本科课程作为国家级一流课程项目培育，其中线上一流课程2门、线下一流课程5门、线上线下混合式一流课程10门、社会实践一流课程2门、虚拟仿真实验教学一流课程1门。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righ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教务处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righ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2021年1月25日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28B4"/>
    <w:rsid w:val="678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2021-02-21T07:21:00Z</dcterms:created>
  <dc:creator>hp</dc:creator>
  <cp:lastModifiedBy>hp</cp:lastModifiedBy>
  <dcterms:modified xsi:type="dcterms:W3CDTF">2021-02-21T07:22:26Z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A5122CF457864EEF92C0D5EABDC5F1A8</vt:lpwstr>
  </property>
</Properties>
</file>